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A09DA" w14:textId="457B30D8" w:rsidR="009E7BF4" w:rsidRDefault="009E7BF4" w:rsidP="00E91047">
      <w:pPr>
        <w:pStyle w:val="ListParagraph"/>
        <w:numPr>
          <w:ilvl w:val="0"/>
          <w:numId w:val="7"/>
        </w:numPr>
        <w:spacing w:before="240"/>
        <w:ind w:left="357" w:hanging="357"/>
        <w:contextualSpacing w:val="0"/>
        <w:jc w:val="both"/>
        <w:rPr>
          <w:rFonts w:ascii="Arial" w:hAnsi="Arial" w:cs="Arial"/>
          <w:sz w:val="22"/>
          <w:szCs w:val="22"/>
        </w:rPr>
      </w:pPr>
      <w:r w:rsidRPr="009E7BF4">
        <w:rPr>
          <w:rFonts w:ascii="Arial" w:hAnsi="Arial" w:cs="Arial"/>
          <w:sz w:val="22"/>
          <w:szCs w:val="22"/>
        </w:rPr>
        <w:t>Queensland’s public health response to COVID-19 has been swift and decisive</w:t>
      </w:r>
      <w:r w:rsidR="00CB57FF">
        <w:rPr>
          <w:rFonts w:ascii="Arial" w:hAnsi="Arial" w:cs="Arial"/>
          <w:sz w:val="22"/>
          <w:szCs w:val="22"/>
        </w:rPr>
        <w:t xml:space="preserve"> </w:t>
      </w:r>
      <w:r w:rsidRPr="009E7BF4">
        <w:rPr>
          <w:rFonts w:ascii="Arial" w:hAnsi="Arial" w:cs="Arial"/>
          <w:sz w:val="22"/>
          <w:szCs w:val="22"/>
        </w:rPr>
        <w:t>throughout 2020</w:t>
      </w:r>
      <w:r w:rsidR="00CB57FF">
        <w:rPr>
          <w:rFonts w:ascii="Arial" w:hAnsi="Arial" w:cs="Arial"/>
          <w:sz w:val="22"/>
          <w:szCs w:val="22"/>
        </w:rPr>
        <w:t>.</w:t>
      </w:r>
      <w:r w:rsidRPr="009E7BF4">
        <w:rPr>
          <w:rFonts w:ascii="Arial" w:hAnsi="Arial" w:cs="Arial"/>
          <w:sz w:val="22"/>
          <w:szCs w:val="22"/>
        </w:rPr>
        <w:t xml:space="preserve"> The management of outbreaks in the community has proven to be rapid and effective and the low rates of community transmission has enabled restrictions on the movement and gathering of people to be significantly eased. </w:t>
      </w:r>
    </w:p>
    <w:p w14:paraId="54C52386" w14:textId="3035E096" w:rsidR="009E7BF4" w:rsidRPr="009E7BF4" w:rsidRDefault="009E7BF4" w:rsidP="00E91047">
      <w:pPr>
        <w:pStyle w:val="ListParagraph"/>
        <w:numPr>
          <w:ilvl w:val="0"/>
          <w:numId w:val="7"/>
        </w:numPr>
        <w:spacing w:before="240"/>
        <w:ind w:left="357" w:hanging="357"/>
        <w:contextualSpacing w:val="0"/>
        <w:jc w:val="both"/>
        <w:rPr>
          <w:rFonts w:ascii="Arial" w:hAnsi="Arial" w:cs="Arial"/>
          <w:sz w:val="22"/>
          <w:szCs w:val="22"/>
        </w:rPr>
      </w:pPr>
      <w:r w:rsidRPr="009E7BF4">
        <w:rPr>
          <w:rFonts w:ascii="Arial" w:hAnsi="Arial" w:cs="Arial"/>
          <w:sz w:val="22"/>
          <w:szCs w:val="22"/>
        </w:rPr>
        <w:t xml:space="preserve">However, there is still the potential for further outbreaks and restrictions, in some form or another, to need to be in place until a vaccine has been implemented worldwide. In summary, despite the strong response to date, the </w:t>
      </w:r>
      <w:bookmarkStart w:id="0" w:name="_Hlk55811361"/>
      <w:r w:rsidRPr="009E7BF4">
        <w:rPr>
          <w:rFonts w:ascii="Arial" w:hAnsi="Arial" w:cs="Arial"/>
          <w:sz w:val="22"/>
          <w:szCs w:val="22"/>
        </w:rPr>
        <w:t>COVID-19 emergency remains ongoing</w:t>
      </w:r>
      <w:bookmarkEnd w:id="0"/>
      <w:r w:rsidRPr="009E7BF4">
        <w:rPr>
          <w:rFonts w:ascii="Arial" w:hAnsi="Arial" w:cs="Arial"/>
          <w:sz w:val="22"/>
          <w:szCs w:val="22"/>
        </w:rPr>
        <w:t>.</w:t>
      </w:r>
    </w:p>
    <w:p w14:paraId="0F802165" w14:textId="453B463A" w:rsidR="009334B9" w:rsidRDefault="00CB57FF" w:rsidP="00E91047">
      <w:pPr>
        <w:pStyle w:val="ListParagraph"/>
        <w:numPr>
          <w:ilvl w:val="0"/>
          <w:numId w:val="7"/>
        </w:numPr>
        <w:spacing w:before="240"/>
        <w:ind w:left="357" w:hanging="357"/>
        <w:contextualSpacing w:val="0"/>
        <w:jc w:val="both"/>
        <w:rPr>
          <w:rFonts w:ascii="Arial" w:hAnsi="Arial" w:cs="Arial"/>
          <w:sz w:val="22"/>
          <w:szCs w:val="22"/>
        </w:rPr>
      </w:pPr>
      <w:r>
        <w:rPr>
          <w:rFonts w:ascii="Arial" w:hAnsi="Arial" w:cs="Arial"/>
          <w:sz w:val="22"/>
          <w:szCs w:val="22"/>
        </w:rPr>
        <w:t xml:space="preserve">As a result, </w:t>
      </w:r>
      <w:r w:rsidR="004236CE">
        <w:rPr>
          <w:rFonts w:ascii="Arial" w:hAnsi="Arial" w:cs="Arial"/>
          <w:sz w:val="22"/>
          <w:szCs w:val="22"/>
        </w:rPr>
        <w:t xml:space="preserve">the COVID-19 Emergency Response and Other Legislation Amendment Bill 2020 includes </w:t>
      </w:r>
      <w:r w:rsidR="009E7BF4">
        <w:rPr>
          <w:rFonts w:ascii="Arial" w:hAnsi="Arial" w:cs="Arial"/>
          <w:sz w:val="22"/>
          <w:szCs w:val="22"/>
        </w:rPr>
        <w:t>amendments to</w:t>
      </w:r>
      <w:r w:rsidR="003C02A3">
        <w:rPr>
          <w:rFonts w:ascii="Arial" w:hAnsi="Arial" w:cs="Arial"/>
          <w:sz w:val="22"/>
          <w:szCs w:val="22"/>
        </w:rPr>
        <w:t>, amongst other things</w:t>
      </w:r>
      <w:r w:rsidR="009334B9" w:rsidRPr="00A049CC">
        <w:rPr>
          <w:rFonts w:ascii="Arial" w:hAnsi="Arial" w:cs="Arial"/>
          <w:sz w:val="22"/>
          <w:szCs w:val="22"/>
        </w:rPr>
        <w:t>:</w:t>
      </w:r>
    </w:p>
    <w:p w14:paraId="7A869311" w14:textId="6EB2EF0A" w:rsidR="009E7BF4" w:rsidRPr="009E7BF4" w:rsidRDefault="009E7BF4" w:rsidP="00E91047">
      <w:pPr>
        <w:pStyle w:val="ListParagraph"/>
        <w:numPr>
          <w:ilvl w:val="0"/>
          <w:numId w:val="10"/>
        </w:numPr>
        <w:spacing w:before="120"/>
        <w:ind w:left="714" w:hanging="357"/>
        <w:contextualSpacing w:val="0"/>
        <w:jc w:val="both"/>
        <w:rPr>
          <w:rFonts w:ascii="Arial" w:hAnsi="Arial" w:cs="Arial"/>
          <w:bCs/>
          <w:sz w:val="22"/>
          <w:szCs w:val="22"/>
        </w:rPr>
      </w:pPr>
      <w:r w:rsidRPr="009E7BF4">
        <w:rPr>
          <w:rFonts w:ascii="Arial" w:hAnsi="Arial" w:cs="Arial"/>
          <w:bCs/>
          <w:sz w:val="22"/>
          <w:szCs w:val="22"/>
        </w:rPr>
        <w:t xml:space="preserve">set a new expiration date of 30 April 2021 or an earlier date to be </w:t>
      </w:r>
      <w:r w:rsidR="003C02A3">
        <w:rPr>
          <w:rFonts w:ascii="Arial" w:hAnsi="Arial" w:cs="Arial"/>
          <w:bCs/>
          <w:sz w:val="22"/>
          <w:szCs w:val="22"/>
        </w:rPr>
        <w:t xml:space="preserve">prescribed by regulation </w:t>
      </w:r>
      <w:r w:rsidRPr="009E7BF4">
        <w:rPr>
          <w:rFonts w:ascii="Arial" w:hAnsi="Arial" w:cs="Arial"/>
          <w:bCs/>
          <w:sz w:val="22"/>
          <w:szCs w:val="22"/>
        </w:rPr>
        <w:t xml:space="preserve">for the COVID-19 related legislation which is still required to respond to the impacts of the COVID-19 emergency; </w:t>
      </w:r>
    </w:p>
    <w:p w14:paraId="17C4E2BF" w14:textId="39CEE9E8" w:rsidR="009E7BF4" w:rsidRPr="009E7BF4" w:rsidRDefault="009E7BF4" w:rsidP="00020902">
      <w:pPr>
        <w:pStyle w:val="ListParagraph"/>
        <w:numPr>
          <w:ilvl w:val="0"/>
          <w:numId w:val="10"/>
        </w:numPr>
        <w:spacing w:before="120"/>
        <w:ind w:left="714" w:hanging="357"/>
        <w:contextualSpacing w:val="0"/>
        <w:jc w:val="both"/>
        <w:rPr>
          <w:rFonts w:ascii="Arial" w:hAnsi="Arial" w:cs="Arial"/>
          <w:bCs/>
          <w:sz w:val="22"/>
          <w:szCs w:val="22"/>
        </w:rPr>
      </w:pPr>
      <w:r w:rsidRPr="009E7BF4">
        <w:rPr>
          <w:rFonts w:ascii="Arial" w:hAnsi="Arial" w:cs="Arial"/>
          <w:bCs/>
          <w:sz w:val="22"/>
          <w:szCs w:val="22"/>
        </w:rPr>
        <w:t>include appropriate transitional mechanisms so that when the extraordinary powers are no longer required, there is the ability to return to normal operations</w:t>
      </w:r>
      <w:r w:rsidR="00AB6368">
        <w:rPr>
          <w:rFonts w:ascii="Arial" w:hAnsi="Arial" w:cs="Arial"/>
          <w:bCs/>
          <w:sz w:val="22"/>
          <w:szCs w:val="22"/>
        </w:rPr>
        <w:t xml:space="preserve">; </w:t>
      </w:r>
    </w:p>
    <w:p w14:paraId="1828D03D" w14:textId="74615A21" w:rsidR="00FF0F49" w:rsidRDefault="00FF0F49" w:rsidP="00E91047">
      <w:pPr>
        <w:pStyle w:val="ListParagraph"/>
        <w:numPr>
          <w:ilvl w:val="0"/>
          <w:numId w:val="10"/>
        </w:numPr>
        <w:spacing w:before="120"/>
        <w:ind w:left="714" w:hanging="357"/>
        <w:contextualSpacing w:val="0"/>
        <w:jc w:val="both"/>
        <w:rPr>
          <w:rFonts w:ascii="Arial" w:hAnsi="Arial" w:cs="Arial"/>
          <w:bCs/>
          <w:sz w:val="22"/>
          <w:szCs w:val="22"/>
        </w:rPr>
      </w:pPr>
      <w:r w:rsidRPr="00FF0F49">
        <w:rPr>
          <w:rFonts w:ascii="Arial" w:hAnsi="Arial" w:cs="Arial"/>
          <w:bCs/>
          <w:sz w:val="22"/>
          <w:szCs w:val="22"/>
        </w:rPr>
        <w:t xml:space="preserve">preserve rights and obligations that have accrued during the ‘response period’ and ‘extension period’ under the </w:t>
      </w:r>
      <w:r w:rsidRPr="000752F3">
        <w:rPr>
          <w:rFonts w:ascii="Arial" w:hAnsi="Arial" w:cs="Arial"/>
          <w:bCs/>
          <w:i/>
          <w:iCs/>
          <w:sz w:val="22"/>
          <w:szCs w:val="22"/>
        </w:rPr>
        <w:t>Retail Shop Leases and Other Commercial Leases (COVID-19 Emergency Response) Regulation 2020</w:t>
      </w:r>
      <w:r w:rsidRPr="000752F3">
        <w:rPr>
          <w:rFonts w:ascii="Arial" w:hAnsi="Arial" w:cs="Arial"/>
          <w:bCs/>
          <w:sz w:val="22"/>
          <w:szCs w:val="22"/>
        </w:rPr>
        <w:t>;</w:t>
      </w:r>
    </w:p>
    <w:p w14:paraId="40784D2E" w14:textId="61894293" w:rsidR="009E7BF4" w:rsidRDefault="009E7BF4" w:rsidP="00E91047">
      <w:pPr>
        <w:pStyle w:val="ListParagraph"/>
        <w:numPr>
          <w:ilvl w:val="0"/>
          <w:numId w:val="10"/>
        </w:numPr>
        <w:spacing w:before="120"/>
        <w:ind w:left="714" w:hanging="357"/>
        <w:contextualSpacing w:val="0"/>
        <w:jc w:val="both"/>
        <w:rPr>
          <w:rFonts w:ascii="Arial" w:hAnsi="Arial" w:cs="Arial"/>
          <w:bCs/>
          <w:sz w:val="22"/>
          <w:szCs w:val="22"/>
        </w:rPr>
      </w:pPr>
      <w:r w:rsidRPr="009E7BF4">
        <w:rPr>
          <w:rFonts w:ascii="Arial" w:hAnsi="Arial" w:cs="Arial"/>
          <w:bCs/>
          <w:sz w:val="22"/>
          <w:szCs w:val="22"/>
        </w:rPr>
        <w:t xml:space="preserve">the </w:t>
      </w:r>
      <w:r w:rsidRPr="009E7BF4">
        <w:rPr>
          <w:rFonts w:ascii="Arial" w:hAnsi="Arial" w:cs="Arial"/>
          <w:bCs/>
          <w:i/>
          <w:iCs/>
          <w:sz w:val="22"/>
          <w:szCs w:val="22"/>
        </w:rPr>
        <w:t>Electoral Act 1992</w:t>
      </w:r>
      <w:r w:rsidRPr="009E7BF4">
        <w:rPr>
          <w:rFonts w:ascii="Arial" w:hAnsi="Arial" w:cs="Arial"/>
          <w:bCs/>
          <w:sz w:val="22"/>
          <w:szCs w:val="22"/>
        </w:rPr>
        <w:t xml:space="preserve"> to facilitate COVID-19 related measures for by-elections after the 2020 State general election</w:t>
      </w:r>
      <w:r w:rsidR="00DA0BF1">
        <w:rPr>
          <w:rFonts w:ascii="Arial" w:hAnsi="Arial" w:cs="Arial"/>
          <w:bCs/>
          <w:sz w:val="22"/>
          <w:szCs w:val="22"/>
        </w:rPr>
        <w:t>;</w:t>
      </w:r>
      <w:r w:rsidR="00AB6368">
        <w:rPr>
          <w:rFonts w:ascii="Arial" w:hAnsi="Arial" w:cs="Arial"/>
          <w:bCs/>
          <w:sz w:val="22"/>
          <w:szCs w:val="22"/>
        </w:rPr>
        <w:t xml:space="preserve"> </w:t>
      </w:r>
    </w:p>
    <w:p w14:paraId="5143CE6C" w14:textId="63CC848A" w:rsidR="00FF0F49" w:rsidRDefault="00FF0F49" w:rsidP="00E91047">
      <w:pPr>
        <w:pStyle w:val="ListParagraph"/>
        <w:numPr>
          <w:ilvl w:val="0"/>
          <w:numId w:val="10"/>
        </w:numPr>
        <w:spacing w:before="120"/>
        <w:ind w:left="714" w:hanging="357"/>
        <w:contextualSpacing w:val="0"/>
        <w:jc w:val="both"/>
        <w:rPr>
          <w:rFonts w:ascii="Arial" w:hAnsi="Arial" w:cs="Arial"/>
          <w:bCs/>
          <w:sz w:val="22"/>
          <w:szCs w:val="22"/>
        </w:rPr>
      </w:pPr>
      <w:r w:rsidRPr="00FF0F49">
        <w:rPr>
          <w:rFonts w:ascii="Arial" w:hAnsi="Arial" w:cs="Arial"/>
          <w:bCs/>
          <w:sz w:val="22"/>
          <w:szCs w:val="22"/>
        </w:rPr>
        <w:t xml:space="preserve">the </w:t>
      </w:r>
      <w:r w:rsidRPr="000752F3">
        <w:rPr>
          <w:rFonts w:ascii="Arial" w:hAnsi="Arial" w:cs="Arial"/>
          <w:bCs/>
          <w:i/>
          <w:iCs/>
          <w:sz w:val="22"/>
          <w:szCs w:val="22"/>
        </w:rPr>
        <w:t>Youth Justice Act 1992</w:t>
      </w:r>
      <w:r w:rsidRPr="00FF0F49">
        <w:rPr>
          <w:rFonts w:ascii="Arial" w:hAnsi="Arial" w:cs="Arial"/>
          <w:bCs/>
          <w:sz w:val="22"/>
          <w:szCs w:val="22"/>
        </w:rPr>
        <w:t xml:space="preserve"> to allow the chief executive (youth justice) to delegate his or her powers to appropriately qualified temporary detention centre employees in the event of a future COVID-19 outbreak</w:t>
      </w:r>
      <w:r>
        <w:rPr>
          <w:rFonts w:ascii="Arial" w:hAnsi="Arial" w:cs="Arial"/>
          <w:bCs/>
          <w:sz w:val="22"/>
          <w:szCs w:val="22"/>
        </w:rPr>
        <w:t>; and</w:t>
      </w:r>
    </w:p>
    <w:p w14:paraId="50EE4E0E" w14:textId="518E0ADE" w:rsidR="00E80E62" w:rsidRPr="009E7BF4" w:rsidRDefault="00E80E62" w:rsidP="00E91047">
      <w:pPr>
        <w:pStyle w:val="ListParagraph"/>
        <w:numPr>
          <w:ilvl w:val="0"/>
          <w:numId w:val="10"/>
        </w:numPr>
        <w:spacing w:before="120"/>
        <w:ind w:left="714" w:hanging="357"/>
        <w:contextualSpacing w:val="0"/>
        <w:jc w:val="both"/>
        <w:rPr>
          <w:rFonts w:ascii="Arial" w:hAnsi="Arial" w:cs="Arial"/>
          <w:bCs/>
          <w:sz w:val="22"/>
          <w:szCs w:val="22"/>
        </w:rPr>
      </w:pPr>
      <w:r>
        <w:rPr>
          <w:rFonts w:ascii="Arial" w:hAnsi="Arial" w:cs="Arial"/>
          <w:bCs/>
          <w:sz w:val="22"/>
          <w:szCs w:val="22"/>
        </w:rPr>
        <w:t xml:space="preserve">the </w:t>
      </w:r>
      <w:r w:rsidRPr="000752F3">
        <w:rPr>
          <w:rFonts w:ascii="Arial" w:hAnsi="Arial" w:cs="Arial"/>
          <w:bCs/>
          <w:i/>
          <w:iCs/>
          <w:sz w:val="22"/>
          <w:szCs w:val="22"/>
        </w:rPr>
        <w:t>Liquor Act 1992</w:t>
      </w:r>
      <w:r w:rsidRPr="000752F3">
        <w:rPr>
          <w:rFonts w:ascii="Arial" w:hAnsi="Arial" w:cs="Arial"/>
          <w:bCs/>
          <w:sz w:val="22"/>
          <w:szCs w:val="22"/>
        </w:rPr>
        <w:t xml:space="preserve"> to continue support for the boutique liquor sector by ensuring artisan distillers are able to sell takeaways of their own liquor</w:t>
      </w:r>
      <w:r w:rsidR="003C02A3">
        <w:rPr>
          <w:rFonts w:ascii="Arial" w:hAnsi="Arial" w:cs="Arial"/>
          <w:bCs/>
          <w:sz w:val="22"/>
          <w:szCs w:val="22"/>
        </w:rPr>
        <w:t>.</w:t>
      </w:r>
    </w:p>
    <w:p w14:paraId="311DC4EF" w14:textId="7C6C0EF1" w:rsidR="008A7FFA" w:rsidRPr="008A7FFA" w:rsidRDefault="008A7FFA" w:rsidP="00020902">
      <w:pPr>
        <w:pStyle w:val="ListParagraph"/>
        <w:numPr>
          <w:ilvl w:val="0"/>
          <w:numId w:val="7"/>
        </w:numPr>
        <w:spacing w:before="240"/>
        <w:ind w:left="357" w:hanging="357"/>
        <w:contextualSpacing w:val="0"/>
        <w:jc w:val="both"/>
        <w:rPr>
          <w:rFonts w:ascii="Arial" w:hAnsi="Arial" w:cs="Arial"/>
          <w:i/>
          <w:sz w:val="22"/>
          <w:szCs w:val="22"/>
        </w:rPr>
      </w:pPr>
      <w:r w:rsidRPr="008C6833">
        <w:rPr>
          <w:rFonts w:ascii="Arial" w:hAnsi="Arial" w:cs="Arial"/>
          <w:iCs/>
          <w:sz w:val="22"/>
          <w:szCs w:val="22"/>
          <w:u w:val="single"/>
        </w:rPr>
        <w:t>Cabinet approved</w:t>
      </w:r>
      <w:r>
        <w:rPr>
          <w:rFonts w:ascii="Arial" w:hAnsi="Arial" w:cs="Arial"/>
          <w:iCs/>
          <w:sz w:val="22"/>
          <w:szCs w:val="22"/>
        </w:rPr>
        <w:t xml:space="preserve"> </w:t>
      </w:r>
      <w:r w:rsidR="008C6833" w:rsidRPr="008C6833">
        <w:rPr>
          <w:rFonts w:ascii="Arial" w:hAnsi="Arial" w:cs="Arial"/>
          <w:iCs/>
          <w:sz w:val="22"/>
          <w:szCs w:val="22"/>
        </w:rPr>
        <w:t>introduction of the COVID-19 Emergency Response and Other Legislation Amendment Bill 2020 into the Legislative Assembly</w:t>
      </w:r>
      <w:r w:rsidR="008C6833">
        <w:rPr>
          <w:rFonts w:ascii="Arial" w:hAnsi="Arial" w:cs="Arial"/>
          <w:iCs/>
          <w:sz w:val="22"/>
          <w:szCs w:val="22"/>
        </w:rPr>
        <w:t>.</w:t>
      </w:r>
    </w:p>
    <w:p w14:paraId="0029E483" w14:textId="62249966" w:rsidR="00B108DE" w:rsidRPr="004236CE" w:rsidRDefault="00B108DE" w:rsidP="00020902">
      <w:pPr>
        <w:pStyle w:val="ListParagraph"/>
        <w:numPr>
          <w:ilvl w:val="0"/>
          <w:numId w:val="7"/>
        </w:numPr>
        <w:spacing w:before="240"/>
        <w:ind w:left="357" w:hanging="357"/>
        <w:contextualSpacing w:val="0"/>
        <w:jc w:val="both"/>
        <w:rPr>
          <w:rFonts w:ascii="Arial" w:hAnsi="Arial" w:cs="Arial"/>
          <w:i/>
          <w:sz w:val="22"/>
          <w:szCs w:val="22"/>
        </w:rPr>
      </w:pPr>
      <w:r w:rsidRPr="004236CE">
        <w:rPr>
          <w:rFonts w:ascii="Arial" w:hAnsi="Arial" w:cs="Arial"/>
          <w:i/>
          <w:spacing w:val="-4"/>
          <w:sz w:val="22"/>
          <w:szCs w:val="22"/>
          <w:u w:val="single"/>
        </w:rPr>
        <w:t>Attachments</w:t>
      </w:r>
    </w:p>
    <w:p w14:paraId="35A22810" w14:textId="3B8EFCA2" w:rsidR="00B108DE" w:rsidRPr="0015626B" w:rsidRDefault="00AD59C1" w:rsidP="00E91047">
      <w:pPr>
        <w:pStyle w:val="Header"/>
        <w:numPr>
          <w:ilvl w:val="0"/>
          <w:numId w:val="12"/>
        </w:numPr>
        <w:spacing w:before="120"/>
        <w:ind w:left="709" w:hanging="357"/>
        <w:jc w:val="both"/>
        <w:rPr>
          <w:rFonts w:ascii="Arial" w:hAnsi="Arial" w:cs="Arial"/>
          <w:bCs/>
          <w:sz w:val="22"/>
          <w:szCs w:val="22"/>
        </w:rPr>
      </w:pPr>
      <w:hyperlink r:id="rId10" w:history="1">
        <w:r w:rsidR="009E7BF4" w:rsidRPr="009C68F6">
          <w:rPr>
            <w:rStyle w:val="Hyperlink"/>
            <w:rFonts w:ascii="Arial" w:hAnsi="Arial" w:cs="Arial"/>
            <w:bCs/>
            <w:sz w:val="22"/>
            <w:szCs w:val="22"/>
          </w:rPr>
          <w:t>COVID-19 Emergency Response and Other Legislation Amendment Bill 2020</w:t>
        </w:r>
      </w:hyperlink>
    </w:p>
    <w:p w14:paraId="503E37D1" w14:textId="5FFE5812" w:rsidR="00B108DE" w:rsidRPr="009E7BF4" w:rsidRDefault="00AD59C1" w:rsidP="00E91047">
      <w:pPr>
        <w:pStyle w:val="ListParagraph"/>
        <w:numPr>
          <w:ilvl w:val="0"/>
          <w:numId w:val="12"/>
        </w:numPr>
        <w:spacing w:before="120"/>
        <w:ind w:left="709" w:hanging="357"/>
        <w:contextualSpacing w:val="0"/>
        <w:jc w:val="both"/>
        <w:rPr>
          <w:rFonts w:ascii="Arial" w:hAnsi="Arial" w:cs="Arial"/>
          <w:i/>
          <w:sz w:val="22"/>
          <w:szCs w:val="22"/>
        </w:rPr>
      </w:pPr>
      <w:hyperlink r:id="rId11" w:history="1">
        <w:r w:rsidR="00B108DE" w:rsidRPr="009C68F6">
          <w:rPr>
            <w:rStyle w:val="Hyperlink"/>
            <w:rFonts w:ascii="Arial" w:hAnsi="Arial" w:cs="Arial"/>
            <w:iCs/>
            <w:sz w:val="22"/>
            <w:szCs w:val="22"/>
          </w:rPr>
          <w:t>Explanatory Notes</w:t>
        </w:r>
      </w:hyperlink>
    </w:p>
    <w:p w14:paraId="1D761C15" w14:textId="0FDB1E87" w:rsidR="00B108DE" w:rsidRPr="008C6833" w:rsidRDefault="00AD59C1" w:rsidP="00E91047">
      <w:pPr>
        <w:pStyle w:val="ListParagraph"/>
        <w:numPr>
          <w:ilvl w:val="0"/>
          <w:numId w:val="12"/>
        </w:numPr>
        <w:spacing w:before="120"/>
        <w:ind w:left="709" w:hanging="357"/>
        <w:contextualSpacing w:val="0"/>
        <w:jc w:val="both"/>
        <w:rPr>
          <w:rFonts w:ascii="Arial" w:hAnsi="Arial" w:cs="Arial"/>
          <w:i/>
          <w:sz w:val="22"/>
          <w:szCs w:val="22"/>
        </w:rPr>
      </w:pPr>
      <w:hyperlink r:id="rId12" w:history="1">
        <w:r w:rsidR="00B108DE" w:rsidRPr="009C68F6">
          <w:rPr>
            <w:rStyle w:val="Hyperlink"/>
            <w:rFonts w:ascii="Arial" w:hAnsi="Arial" w:cs="Arial"/>
            <w:iCs/>
            <w:sz w:val="22"/>
            <w:szCs w:val="22"/>
          </w:rPr>
          <w:t>Statement of Compatibility</w:t>
        </w:r>
      </w:hyperlink>
    </w:p>
    <w:sectPr w:rsidR="00B108DE" w:rsidRPr="008C6833" w:rsidSect="00E91047">
      <w:headerReference w:type="default" r:id="rId1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73EE1" w14:textId="77777777" w:rsidR="002176B0" w:rsidRDefault="002176B0" w:rsidP="00D6589B">
      <w:r>
        <w:separator/>
      </w:r>
    </w:p>
  </w:endnote>
  <w:endnote w:type="continuationSeparator" w:id="0">
    <w:p w14:paraId="05A5CC88" w14:textId="77777777" w:rsidR="002176B0" w:rsidRDefault="002176B0"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761A6" w14:textId="77777777" w:rsidR="002176B0" w:rsidRDefault="002176B0" w:rsidP="00D6589B">
      <w:r>
        <w:separator/>
      </w:r>
    </w:p>
  </w:footnote>
  <w:footnote w:type="continuationSeparator" w:id="0">
    <w:p w14:paraId="1A1CE006" w14:textId="77777777" w:rsidR="002176B0" w:rsidRDefault="002176B0"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1274" w14:textId="77777777" w:rsidR="00D64090" w:rsidRPr="00937A4A" w:rsidRDefault="00D64090" w:rsidP="00D64090">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53A6B7F8" w14:textId="77777777" w:rsidR="00D64090" w:rsidRPr="00937A4A" w:rsidRDefault="00D64090" w:rsidP="00D64090">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3DEC780A" w14:textId="06375FAE" w:rsidR="00D64090" w:rsidRPr="00937A4A" w:rsidRDefault="00D64090" w:rsidP="00D64090">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November 2020</w:t>
    </w:r>
  </w:p>
  <w:p w14:paraId="33C5F465" w14:textId="004A12D6" w:rsidR="00D64090" w:rsidRDefault="00FE1498" w:rsidP="00D64090">
    <w:pPr>
      <w:pStyle w:val="Header"/>
      <w:spacing w:before="120"/>
      <w:rPr>
        <w:rFonts w:ascii="Arial" w:hAnsi="Arial" w:cs="Arial"/>
        <w:b/>
        <w:sz w:val="22"/>
        <w:szCs w:val="22"/>
        <w:u w:val="single"/>
      </w:rPr>
    </w:pPr>
    <w:r>
      <w:rPr>
        <w:rFonts w:ascii="Arial" w:hAnsi="Arial" w:cs="Arial"/>
        <w:b/>
        <w:sz w:val="22"/>
        <w:szCs w:val="22"/>
        <w:u w:val="single"/>
      </w:rPr>
      <w:t xml:space="preserve">COVID-19 Emergency </w:t>
    </w:r>
    <w:r w:rsidR="00F01FEA">
      <w:rPr>
        <w:rFonts w:ascii="Arial" w:hAnsi="Arial" w:cs="Arial"/>
        <w:b/>
        <w:sz w:val="22"/>
        <w:szCs w:val="22"/>
        <w:u w:val="single"/>
      </w:rPr>
      <w:t xml:space="preserve">Response and Other </w:t>
    </w:r>
    <w:r w:rsidR="00961D44">
      <w:rPr>
        <w:rFonts w:ascii="Arial" w:hAnsi="Arial" w:cs="Arial"/>
        <w:b/>
        <w:sz w:val="22"/>
        <w:szCs w:val="22"/>
        <w:u w:val="single"/>
      </w:rPr>
      <w:t>Legislation Amendment Bill 2020</w:t>
    </w:r>
  </w:p>
  <w:p w14:paraId="4C3D9B96" w14:textId="37A68955" w:rsidR="00D64090" w:rsidRDefault="00961D44" w:rsidP="00D64090">
    <w:pPr>
      <w:pStyle w:val="Header"/>
      <w:spacing w:before="120"/>
      <w:rPr>
        <w:rFonts w:ascii="Arial" w:hAnsi="Arial" w:cs="Arial"/>
        <w:b/>
        <w:sz w:val="22"/>
        <w:szCs w:val="22"/>
        <w:u w:val="single"/>
      </w:rPr>
    </w:pPr>
    <w:r>
      <w:rPr>
        <w:rFonts w:ascii="Arial" w:hAnsi="Arial" w:cs="Arial"/>
        <w:b/>
        <w:sz w:val="22"/>
        <w:szCs w:val="22"/>
        <w:u w:val="single"/>
      </w:rPr>
      <w:t xml:space="preserve">Attorney-General and </w:t>
    </w:r>
    <w:r w:rsidR="00D64090">
      <w:rPr>
        <w:rFonts w:ascii="Arial" w:hAnsi="Arial" w:cs="Arial"/>
        <w:b/>
        <w:sz w:val="22"/>
        <w:szCs w:val="22"/>
        <w:u w:val="single"/>
      </w:rPr>
      <w:t>Minister</w:t>
    </w:r>
    <w:r>
      <w:rPr>
        <w:rFonts w:ascii="Arial" w:hAnsi="Arial" w:cs="Arial"/>
        <w:b/>
        <w:sz w:val="22"/>
        <w:szCs w:val="22"/>
        <w:u w:val="single"/>
      </w:rPr>
      <w:t xml:space="preserve"> for Justice, Minister for Women and Minister for the Prevention of Domestic and Family Violence</w:t>
    </w:r>
  </w:p>
  <w:p w14:paraId="72869B9C" w14:textId="77777777" w:rsidR="00D64090" w:rsidRDefault="00D64090" w:rsidP="00D64090">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49C"/>
    <w:multiLevelType w:val="hybridMultilevel"/>
    <w:tmpl w:val="701EBBD8"/>
    <w:lvl w:ilvl="0" w:tplc="02D61F0E">
      <w:start w:val="1"/>
      <w:numFmt w:val="decimal"/>
      <w:lvlText w:val="%1."/>
      <w:lvlJc w:val="left"/>
      <w:pPr>
        <w:tabs>
          <w:tab w:val="num" w:pos="360"/>
        </w:tabs>
        <w:ind w:left="360" w:hanging="360"/>
      </w:pPr>
      <w:rPr>
        <w:rFonts w:ascii="Times New Roman" w:hAnsi="Times New Roman" w:cs="Times New Roman"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1331AF"/>
    <w:multiLevelType w:val="hybridMultilevel"/>
    <w:tmpl w:val="95D8ED8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EC770C9"/>
    <w:multiLevelType w:val="hybridMultilevel"/>
    <w:tmpl w:val="F1E8D1C8"/>
    <w:lvl w:ilvl="0" w:tplc="7E14517E">
      <w:start w:val="1"/>
      <w:numFmt w:val="decimal"/>
      <w:lvlText w:val="%1."/>
      <w:lvlJc w:val="left"/>
      <w:pPr>
        <w:ind w:left="360" w:hanging="360"/>
      </w:pPr>
      <w:rPr>
        <w:rFonts w:hint="default"/>
        <w:i w:val="0"/>
        <w:i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66773C0"/>
    <w:multiLevelType w:val="hybridMultilevel"/>
    <w:tmpl w:val="E0804C32"/>
    <w:lvl w:ilvl="0" w:tplc="80CEDA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4B86122D"/>
    <w:multiLevelType w:val="hybridMultilevel"/>
    <w:tmpl w:val="FAE489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C621594"/>
    <w:multiLevelType w:val="hybridMultilevel"/>
    <w:tmpl w:val="1EC488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67573A7"/>
    <w:multiLevelType w:val="hybridMultilevel"/>
    <w:tmpl w:val="5EEAAF5A"/>
    <w:lvl w:ilvl="0" w:tplc="0C090019">
      <w:start w:val="1"/>
      <w:numFmt w:val="lowerLetter"/>
      <w:lvlText w:val="%1."/>
      <w:lvlJc w:val="left"/>
      <w:pPr>
        <w:tabs>
          <w:tab w:val="num" w:pos="360"/>
        </w:tabs>
        <w:ind w:left="36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C930C4B"/>
    <w:multiLevelType w:val="hybridMultilevel"/>
    <w:tmpl w:val="A2FC3CBC"/>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5BE4382"/>
    <w:multiLevelType w:val="hybridMultilevel"/>
    <w:tmpl w:val="C848F6E8"/>
    <w:lvl w:ilvl="0" w:tplc="0C09000F">
      <w:start w:val="1"/>
      <w:numFmt w:val="decimal"/>
      <w:lvlText w:val="%1."/>
      <w:lvlJc w:val="left"/>
      <w:pPr>
        <w:tabs>
          <w:tab w:val="num" w:pos="644"/>
        </w:tabs>
        <w:ind w:left="644" w:hanging="360"/>
      </w:pPr>
    </w:lvl>
    <w:lvl w:ilvl="1" w:tplc="B7A0238C">
      <w:start w:val="1"/>
      <w:numFmt w:val="bullet"/>
      <w:lvlText w:val=""/>
      <w:lvlJc w:val="left"/>
      <w:pPr>
        <w:tabs>
          <w:tab w:val="num" w:pos="1174"/>
        </w:tabs>
        <w:ind w:left="1174" w:hanging="454"/>
      </w:pPr>
      <w:rPr>
        <w:rFonts w:ascii="Symbol" w:hAnsi="Symbol" w:hint="default"/>
        <w:color w:val="auto"/>
        <w:sz w:val="23"/>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79E40CD"/>
    <w:multiLevelType w:val="hybridMultilevel"/>
    <w:tmpl w:val="4C6C5C72"/>
    <w:lvl w:ilvl="0" w:tplc="14BE031A">
      <w:start w:val="1"/>
      <w:numFmt w:val="decimal"/>
      <w:lvlText w:val="%1."/>
      <w:lvlJc w:val="left"/>
      <w:pPr>
        <w:ind w:left="580" w:hanging="360"/>
      </w:pPr>
      <w:rPr>
        <w:rFonts w:hint="default"/>
        <w:i w:val="0"/>
        <w:spacing w:val="-3"/>
        <w:w w:val="100"/>
      </w:rPr>
    </w:lvl>
    <w:lvl w:ilvl="1" w:tplc="71EC058E">
      <w:start w:val="1"/>
      <w:numFmt w:val="lowerLetter"/>
      <w:lvlText w:val="(%2)"/>
      <w:lvlJc w:val="left"/>
      <w:pPr>
        <w:ind w:left="1072" w:hanging="425"/>
      </w:pPr>
      <w:rPr>
        <w:rFonts w:ascii="Arial" w:eastAsia="Arial" w:hAnsi="Arial" w:cs="Arial" w:hint="default"/>
        <w:w w:val="100"/>
        <w:sz w:val="22"/>
        <w:szCs w:val="22"/>
      </w:rPr>
    </w:lvl>
    <w:lvl w:ilvl="2" w:tplc="7982D5BA">
      <w:numFmt w:val="bullet"/>
      <w:lvlText w:val="•"/>
      <w:lvlJc w:val="left"/>
      <w:pPr>
        <w:ind w:left="2031" w:hanging="425"/>
      </w:pPr>
      <w:rPr>
        <w:rFonts w:hint="default"/>
      </w:rPr>
    </w:lvl>
    <w:lvl w:ilvl="3" w:tplc="E910C860">
      <w:numFmt w:val="bullet"/>
      <w:lvlText w:val="•"/>
      <w:lvlJc w:val="left"/>
      <w:pPr>
        <w:ind w:left="2983" w:hanging="425"/>
      </w:pPr>
      <w:rPr>
        <w:rFonts w:hint="default"/>
      </w:rPr>
    </w:lvl>
    <w:lvl w:ilvl="4" w:tplc="90F205F6">
      <w:numFmt w:val="bullet"/>
      <w:lvlText w:val="•"/>
      <w:lvlJc w:val="left"/>
      <w:pPr>
        <w:ind w:left="3935" w:hanging="425"/>
      </w:pPr>
      <w:rPr>
        <w:rFonts w:hint="default"/>
      </w:rPr>
    </w:lvl>
    <w:lvl w:ilvl="5" w:tplc="0902E2F6">
      <w:numFmt w:val="bullet"/>
      <w:lvlText w:val="•"/>
      <w:lvlJc w:val="left"/>
      <w:pPr>
        <w:ind w:left="4887" w:hanging="425"/>
      </w:pPr>
      <w:rPr>
        <w:rFonts w:hint="default"/>
      </w:rPr>
    </w:lvl>
    <w:lvl w:ilvl="6" w:tplc="B56ECA50">
      <w:numFmt w:val="bullet"/>
      <w:lvlText w:val="•"/>
      <w:lvlJc w:val="left"/>
      <w:pPr>
        <w:ind w:left="5839" w:hanging="425"/>
      </w:pPr>
      <w:rPr>
        <w:rFonts w:hint="default"/>
      </w:rPr>
    </w:lvl>
    <w:lvl w:ilvl="7" w:tplc="02140252">
      <w:numFmt w:val="bullet"/>
      <w:lvlText w:val="•"/>
      <w:lvlJc w:val="left"/>
      <w:pPr>
        <w:ind w:left="6790" w:hanging="425"/>
      </w:pPr>
      <w:rPr>
        <w:rFonts w:hint="default"/>
      </w:rPr>
    </w:lvl>
    <w:lvl w:ilvl="8" w:tplc="706A0B7A">
      <w:numFmt w:val="bullet"/>
      <w:lvlText w:val="•"/>
      <w:lvlJc w:val="left"/>
      <w:pPr>
        <w:ind w:left="7742" w:hanging="425"/>
      </w:pPr>
      <w:rPr>
        <w:rFonts w:hint="default"/>
      </w:rPr>
    </w:lvl>
  </w:abstractNum>
  <w:abstractNum w:abstractNumId="1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4"/>
  </w:num>
  <w:num w:numId="4">
    <w:abstractNumId w:val="0"/>
  </w:num>
  <w:num w:numId="5">
    <w:abstractNumId w:val="7"/>
  </w:num>
  <w:num w:numId="6">
    <w:abstractNumId w:val="9"/>
  </w:num>
  <w:num w:numId="7">
    <w:abstractNumId w:val="2"/>
  </w:num>
  <w:num w:numId="8">
    <w:abstractNumId w:val="8"/>
  </w:num>
  <w:num w:numId="9">
    <w:abstractNumId w:val="1"/>
  </w:num>
  <w:num w:numId="10">
    <w:abstractNumId w:val="3"/>
  </w:num>
  <w:num w:numId="11">
    <w:abstractNumId w:val="11"/>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DCA"/>
    <w:rsid w:val="00020902"/>
    <w:rsid w:val="000535B4"/>
    <w:rsid w:val="00057A85"/>
    <w:rsid w:val="0006791C"/>
    <w:rsid w:val="000752F3"/>
    <w:rsid w:val="00080F8F"/>
    <w:rsid w:val="000F7629"/>
    <w:rsid w:val="0010384C"/>
    <w:rsid w:val="0010431B"/>
    <w:rsid w:val="00152095"/>
    <w:rsid w:val="0015626B"/>
    <w:rsid w:val="00157138"/>
    <w:rsid w:val="00174117"/>
    <w:rsid w:val="002176B0"/>
    <w:rsid w:val="00274696"/>
    <w:rsid w:val="00280DCA"/>
    <w:rsid w:val="0034156D"/>
    <w:rsid w:val="003468F4"/>
    <w:rsid w:val="00371A37"/>
    <w:rsid w:val="003A3BDD"/>
    <w:rsid w:val="003C02A3"/>
    <w:rsid w:val="00416570"/>
    <w:rsid w:val="004236CE"/>
    <w:rsid w:val="0043543B"/>
    <w:rsid w:val="0044079B"/>
    <w:rsid w:val="004F7525"/>
    <w:rsid w:val="00501C66"/>
    <w:rsid w:val="0053314F"/>
    <w:rsid w:val="00550873"/>
    <w:rsid w:val="00602F07"/>
    <w:rsid w:val="007265D0"/>
    <w:rsid w:val="00732E22"/>
    <w:rsid w:val="00741C20"/>
    <w:rsid w:val="007A455A"/>
    <w:rsid w:val="007B7095"/>
    <w:rsid w:val="007F44F4"/>
    <w:rsid w:val="008601C3"/>
    <w:rsid w:val="008A7FFA"/>
    <w:rsid w:val="008B6B3D"/>
    <w:rsid w:val="008C44B5"/>
    <w:rsid w:val="008C6833"/>
    <w:rsid w:val="00904077"/>
    <w:rsid w:val="009334B9"/>
    <w:rsid w:val="00937A4A"/>
    <w:rsid w:val="00961D44"/>
    <w:rsid w:val="00967165"/>
    <w:rsid w:val="00994022"/>
    <w:rsid w:val="009C68F6"/>
    <w:rsid w:val="009E7BF4"/>
    <w:rsid w:val="00A049CC"/>
    <w:rsid w:val="00A656C0"/>
    <w:rsid w:val="00A818DC"/>
    <w:rsid w:val="00AB6368"/>
    <w:rsid w:val="00AD59C1"/>
    <w:rsid w:val="00B108DE"/>
    <w:rsid w:val="00B410E7"/>
    <w:rsid w:val="00B87468"/>
    <w:rsid w:val="00B95A06"/>
    <w:rsid w:val="00BC1C59"/>
    <w:rsid w:val="00BD6020"/>
    <w:rsid w:val="00C04809"/>
    <w:rsid w:val="00C75E67"/>
    <w:rsid w:val="00CB1501"/>
    <w:rsid w:val="00CB57FF"/>
    <w:rsid w:val="00CD7A50"/>
    <w:rsid w:val="00CF0D8A"/>
    <w:rsid w:val="00D258C0"/>
    <w:rsid w:val="00D56D6E"/>
    <w:rsid w:val="00D64090"/>
    <w:rsid w:val="00D6589B"/>
    <w:rsid w:val="00DA0BF1"/>
    <w:rsid w:val="00E80E62"/>
    <w:rsid w:val="00E91047"/>
    <w:rsid w:val="00F01FEA"/>
    <w:rsid w:val="00F1549D"/>
    <w:rsid w:val="00F24A8A"/>
    <w:rsid w:val="00F45B99"/>
    <w:rsid w:val="00F94D48"/>
    <w:rsid w:val="00FE1498"/>
    <w:rsid w:val="00FF0F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02C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1"/>
    <w:qFormat/>
    <w:rsid w:val="00994022"/>
    <w:pPr>
      <w:ind w:left="720"/>
      <w:contextualSpacing/>
    </w:pPr>
  </w:style>
  <w:style w:type="character" w:styleId="Hyperlink">
    <w:name w:val="Hyperlink"/>
    <w:basedOn w:val="DefaultParagraphFont"/>
    <w:uiPriority w:val="99"/>
    <w:unhideWhenUsed/>
    <w:rsid w:val="009C68F6"/>
    <w:rPr>
      <w:color w:val="0563C1" w:themeColor="hyperlink"/>
      <w:u w:val="single"/>
    </w:rPr>
  </w:style>
  <w:style w:type="character" w:styleId="UnresolvedMention">
    <w:name w:val="Unresolved Mention"/>
    <w:basedOn w:val="DefaultParagraphFont"/>
    <w:uiPriority w:val="99"/>
    <w:semiHidden/>
    <w:unhideWhenUsed/>
    <w:rsid w:val="009C6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ttachments/SoC.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ExNotes.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Attachments/Bil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SharePoint\Word%20Templates%20-%20Documents\DPC\Cabinet%20Submission%20-%20Attachmen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DAFE8-8EBC-4A19-8F84-1DB5AA4F2A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3.xml><?xml version="1.0" encoding="utf-8"?>
<ds:datastoreItem xmlns:ds="http://schemas.openxmlformats.org/officeDocument/2006/customXml" ds:itemID="{0783EB9C-03AD-4AE4-9957-EE3CD96E5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Cabinet Submission - Attachment - Proactive Release Summary.dotx</Template>
  <TotalTime>31</TotalTime>
  <Pages>1</Pages>
  <Words>316</Words>
  <Characters>1753</Characters>
  <Application>Microsoft Office Word</Application>
  <DocSecurity>0</DocSecurity>
  <Lines>30</Lines>
  <Paragraphs>14</Paragraphs>
  <ScaleCrop>false</ScaleCrop>
  <HeadingPairs>
    <vt:vector size="2" baseType="variant">
      <vt:variant>
        <vt:lpstr>Title</vt:lpstr>
      </vt:variant>
      <vt:variant>
        <vt:i4>1</vt:i4>
      </vt:variant>
    </vt:vector>
  </HeadingPairs>
  <TitlesOfParts>
    <vt:vector size="1" baseType="lpstr">
      <vt:lpstr>Proactive Release Summary</vt:lpstr>
    </vt:vector>
  </TitlesOfParts>
  <Manager/>
  <Company/>
  <LinksUpToDate>false</LinksUpToDate>
  <CharactersWithSpaces>2062</CharactersWithSpaces>
  <SharedDoc>false</SharedDoc>
  <HyperlinkBase>https://www.cabinet.qld.gov.au/documents/2020/Nov/COVID EROLAB 2020/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Proactive Release Summary</dc:title>
  <dc:subject/>
  <dc:creator/>
  <cp:keywords/>
  <cp:lastModifiedBy/>
  <cp:revision>22</cp:revision>
  <cp:lastPrinted>2021-09-28T04:33:00Z</cp:lastPrinted>
  <dcterms:created xsi:type="dcterms:W3CDTF">2021-09-16T07:42:00Z</dcterms:created>
  <dcterms:modified xsi:type="dcterms:W3CDTF">2021-11-26T04:45:00Z</dcterms:modified>
  <cp:category>covid-19,Regulation,Legislation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ies>
</file>